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06FDCE" w14:textId="77777777" w:rsidR="00970C94" w:rsidRPr="000E4D78" w:rsidRDefault="00000000">
      <w:pPr>
        <w:jc w:val="both"/>
        <w:rPr>
          <w:rFonts w:ascii="Arial" w:eastAsia="Arial" w:hAnsi="Arial" w:cs="Arial"/>
          <w:b/>
          <w:bCs/>
          <w:color w:val="000000"/>
          <w:sz w:val="36"/>
          <w:szCs w:val="36"/>
          <w:lang w:val="es-ES"/>
        </w:rPr>
      </w:pPr>
      <w:r w:rsidRPr="000E4D78">
        <w:rPr>
          <w:rFonts w:ascii="Arial" w:eastAsia="Arial" w:hAnsi="Arial" w:cs="Arial"/>
          <w:b/>
          <w:bCs/>
          <w:color w:val="000000"/>
          <w:sz w:val="36"/>
          <w:szCs w:val="36"/>
          <w:lang w:val="es-ES"/>
        </w:rPr>
        <w:t>Autoevaluación para los solicitantes sobre su política y procedimientos internos contra la explotación sexual, el abuso y el acoso (SEA-H)</w:t>
      </w:r>
    </w:p>
    <w:tbl>
      <w:tblPr>
        <w:tblStyle w:val="a"/>
        <w:tblW w:w="14283" w:type="dxa"/>
        <w:tblInd w:w="-6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83"/>
        <w:gridCol w:w="1197"/>
        <w:gridCol w:w="1022"/>
        <w:gridCol w:w="1024"/>
        <w:gridCol w:w="1220"/>
        <w:gridCol w:w="1220"/>
        <w:gridCol w:w="999"/>
        <w:gridCol w:w="2618"/>
      </w:tblGrid>
      <w:tr w:rsidR="00970C94" w:rsidRPr="000E4D78" w14:paraId="13591A93" w14:textId="77777777">
        <w:trPr>
          <w:trHeight w:val="480"/>
        </w:trPr>
        <w:tc>
          <w:tcPr>
            <w:tcW w:w="4983" w:type="dxa"/>
            <w:shd w:val="clear" w:color="auto" w:fill="EBF1DF"/>
          </w:tcPr>
          <w:p w14:paraId="5943BAB3" w14:textId="77777777" w:rsidR="00970C94" w:rsidRPr="000E4D78" w:rsidRDefault="00000000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  <w:t>Pregunta: ¿Cómo calificarías el nivel de cumplimiento de tu organización con respecto a los siguientes elementos:</w:t>
            </w:r>
          </w:p>
        </w:tc>
        <w:tc>
          <w:tcPr>
            <w:tcW w:w="1197" w:type="dxa"/>
            <w:shd w:val="clear" w:color="auto" w:fill="EBF1DF"/>
          </w:tcPr>
          <w:p w14:paraId="165E5054" w14:textId="77777777" w:rsidR="00970C94" w:rsidRPr="000E4D78" w:rsidRDefault="00000000">
            <w:pPr>
              <w:widowControl w:val="0"/>
              <w:spacing w:before="120" w:after="120" w:line="259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  <w:t>Excelente</w:t>
            </w:r>
          </w:p>
        </w:tc>
        <w:tc>
          <w:tcPr>
            <w:tcW w:w="1022" w:type="dxa"/>
            <w:shd w:val="clear" w:color="auto" w:fill="EBF1DF"/>
          </w:tcPr>
          <w:p w14:paraId="3B3C5E30" w14:textId="77777777" w:rsidR="00970C94" w:rsidRPr="000E4D78" w:rsidRDefault="00000000">
            <w:pPr>
              <w:widowControl w:val="0"/>
              <w:spacing w:before="120" w:after="120" w:line="259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  <w:t>Muy bueno</w:t>
            </w:r>
          </w:p>
        </w:tc>
        <w:tc>
          <w:tcPr>
            <w:tcW w:w="1024" w:type="dxa"/>
            <w:shd w:val="clear" w:color="auto" w:fill="EBF1DF"/>
          </w:tcPr>
          <w:p w14:paraId="15F62FB5" w14:textId="77777777" w:rsidR="00970C94" w:rsidRPr="000E4D78" w:rsidRDefault="00000000">
            <w:pPr>
              <w:widowControl w:val="0"/>
              <w:spacing w:before="120" w:after="120" w:line="259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  <w:t>Bueno</w:t>
            </w:r>
          </w:p>
        </w:tc>
        <w:tc>
          <w:tcPr>
            <w:tcW w:w="1220" w:type="dxa"/>
            <w:shd w:val="clear" w:color="auto" w:fill="EBF1DF"/>
          </w:tcPr>
          <w:p w14:paraId="2090E52F" w14:textId="77777777" w:rsidR="00970C94" w:rsidRPr="000E4D78" w:rsidRDefault="00000000">
            <w:pPr>
              <w:widowControl w:val="0"/>
              <w:spacing w:before="120" w:after="120" w:line="259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  <w:t>Aceptable</w:t>
            </w:r>
          </w:p>
        </w:tc>
        <w:tc>
          <w:tcPr>
            <w:tcW w:w="1220" w:type="dxa"/>
            <w:shd w:val="clear" w:color="auto" w:fill="EBF1DF"/>
          </w:tcPr>
          <w:p w14:paraId="71B4F8EA" w14:textId="77777777" w:rsidR="00970C94" w:rsidRPr="000E4D78" w:rsidRDefault="00000000">
            <w:pPr>
              <w:widowControl w:val="0"/>
              <w:spacing w:before="120" w:after="120" w:line="259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  <w:t>Deficiente</w:t>
            </w:r>
          </w:p>
        </w:tc>
        <w:tc>
          <w:tcPr>
            <w:tcW w:w="999" w:type="dxa"/>
            <w:shd w:val="clear" w:color="auto" w:fill="EBF1DF"/>
          </w:tcPr>
          <w:p w14:paraId="46BE15BB" w14:textId="77777777" w:rsidR="00970C94" w:rsidRPr="000E4D78" w:rsidRDefault="00000000">
            <w:pPr>
              <w:widowControl w:val="0"/>
              <w:spacing w:before="120" w:after="120" w:line="259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  <w:t>N/A</w:t>
            </w:r>
          </w:p>
        </w:tc>
        <w:tc>
          <w:tcPr>
            <w:tcW w:w="2618" w:type="dxa"/>
            <w:shd w:val="clear" w:color="auto" w:fill="EBF1DF"/>
          </w:tcPr>
          <w:p w14:paraId="05546FFE" w14:textId="77777777" w:rsidR="00970C94" w:rsidRPr="000E4D78" w:rsidRDefault="00000000">
            <w:pPr>
              <w:widowControl w:val="0"/>
              <w:spacing w:before="120" w:after="120" w:line="259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  <w:t>Comentarios</w:t>
            </w:r>
          </w:p>
        </w:tc>
      </w:tr>
      <w:tr w:rsidR="00970C94" w:rsidRPr="000E4D78" w14:paraId="3D906F94" w14:textId="77777777">
        <w:trPr>
          <w:trHeight w:val="480"/>
        </w:trPr>
        <w:tc>
          <w:tcPr>
            <w:tcW w:w="4983" w:type="dxa"/>
            <w:shd w:val="clear" w:color="auto" w:fill="EBF1DF"/>
          </w:tcPr>
          <w:p w14:paraId="5C5D2ED3" w14:textId="77777777" w:rsidR="00970C94" w:rsidRPr="000E4D78" w:rsidRDefault="00000000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  <w:t>Normas de ética y conducta profesional</w:t>
            </w:r>
          </w:p>
        </w:tc>
        <w:tc>
          <w:tcPr>
            <w:tcW w:w="1197" w:type="dxa"/>
          </w:tcPr>
          <w:p w14:paraId="7DDA420B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2" w:type="dxa"/>
          </w:tcPr>
          <w:p w14:paraId="3924A7B1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4" w:type="dxa"/>
          </w:tcPr>
          <w:p w14:paraId="4E420957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</w:tcPr>
          <w:p w14:paraId="566D38DA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</w:tcPr>
          <w:p w14:paraId="372AF2C4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999" w:type="dxa"/>
          </w:tcPr>
          <w:p w14:paraId="05B00E71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2618" w:type="dxa"/>
          </w:tcPr>
          <w:p w14:paraId="4E26B23B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</w:tr>
      <w:tr w:rsidR="00970C94" w:rsidRPr="000E4D78" w14:paraId="28622D9A" w14:textId="77777777">
        <w:tc>
          <w:tcPr>
            <w:tcW w:w="4983" w:type="dxa"/>
          </w:tcPr>
          <w:p w14:paraId="69155B0D" w14:textId="77777777" w:rsidR="00970C94" w:rsidRPr="000E4D78" w:rsidRDefault="00000000">
            <w:pPr>
              <w:widowControl w:val="0"/>
              <w:numPr>
                <w:ilvl w:val="0"/>
                <w:numId w:val="1"/>
              </w:numPr>
              <w:spacing w:before="120"/>
              <w:ind w:left="284" w:hanging="284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  <w:t>La organización cuenta con una política y procedimientos de SEA-H.</w:t>
            </w:r>
          </w:p>
        </w:tc>
        <w:tc>
          <w:tcPr>
            <w:tcW w:w="1197" w:type="dxa"/>
          </w:tcPr>
          <w:p w14:paraId="7352FD34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2" w:type="dxa"/>
          </w:tcPr>
          <w:p w14:paraId="51C89AEB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4" w:type="dxa"/>
          </w:tcPr>
          <w:p w14:paraId="17EBF9EC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</w:tcPr>
          <w:p w14:paraId="52DF9053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</w:tcPr>
          <w:p w14:paraId="65B0A5D4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999" w:type="dxa"/>
          </w:tcPr>
          <w:p w14:paraId="44D6A283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2618" w:type="dxa"/>
          </w:tcPr>
          <w:p w14:paraId="79255606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</w:tr>
      <w:tr w:rsidR="00970C94" w:rsidRPr="000E4D78" w14:paraId="11F866E0" w14:textId="77777777">
        <w:tc>
          <w:tcPr>
            <w:tcW w:w="4983" w:type="dxa"/>
            <w:tcBorders>
              <w:bottom w:val="single" w:sz="4" w:space="0" w:color="000000"/>
            </w:tcBorders>
          </w:tcPr>
          <w:p w14:paraId="597C255D" w14:textId="77777777" w:rsidR="00970C94" w:rsidRPr="000E4D78" w:rsidRDefault="00000000">
            <w:pPr>
              <w:widowControl w:val="0"/>
              <w:numPr>
                <w:ilvl w:val="0"/>
                <w:numId w:val="1"/>
              </w:numPr>
              <w:spacing w:before="120"/>
              <w:ind w:left="284" w:hanging="284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  <w:t>La política y los procedimientos de SEA-H contienen detalles de las disposiciones sobre investigación y medidas disciplinarias en caso de incumplimiento, de acuerdo con la legislación aplicable, incluidas las decisiones de la administración y las investigaciones.</w:t>
            </w:r>
          </w:p>
        </w:tc>
        <w:tc>
          <w:tcPr>
            <w:tcW w:w="1197" w:type="dxa"/>
            <w:tcBorders>
              <w:bottom w:val="single" w:sz="4" w:space="0" w:color="000000"/>
            </w:tcBorders>
          </w:tcPr>
          <w:p w14:paraId="0AB25860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2" w:type="dxa"/>
            <w:tcBorders>
              <w:bottom w:val="single" w:sz="4" w:space="0" w:color="000000"/>
            </w:tcBorders>
          </w:tcPr>
          <w:p w14:paraId="76F50A74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4" w:type="dxa"/>
            <w:tcBorders>
              <w:bottom w:val="single" w:sz="4" w:space="0" w:color="000000"/>
            </w:tcBorders>
          </w:tcPr>
          <w:p w14:paraId="319EEB18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  <w:tcBorders>
              <w:bottom w:val="single" w:sz="4" w:space="0" w:color="000000"/>
            </w:tcBorders>
          </w:tcPr>
          <w:p w14:paraId="38ADC139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  <w:tcBorders>
              <w:bottom w:val="single" w:sz="4" w:space="0" w:color="000000"/>
            </w:tcBorders>
          </w:tcPr>
          <w:p w14:paraId="7CDA88D0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999" w:type="dxa"/>
            <w:tcBorders>
              <w:bottom w:val="single" w:sz="4" w:space="0" w:color="000000"/>
            </w:tcBorders>
          </w:tcPr>
          <w:p w14:paraId="66BF7CFC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2618" w:type="dxa"/>
            <w:tcBorders>
              <w:bottom w:val="single" w:sz="4" w:space="0" w:color="000000"/>
            </w:tcBorders>
          </w:tcPr>
          <w:p w14:paraId="5B2ABF43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</w:tr>
      <w:tr w:rsidR="00970C94" w:rsidRPr="000E4D78" w14:paraId="1D50677F" w14:textId="77777777">
        <w:trPr>
          <w:trHeight w:val="480"/>
        </w:trPr>
        <w:tc>
          <w:tcPr>
            <w:tcW w:w="4983" w:type="dxa"/>
            <w:shd w:val="clear" w:color="auto" w:fill="EBF1DF"/>
          </w:tcPr>
          <w:p w14:paraId="018F6AAF" w14:textId="77777777" w:rsidR="00970C94" w:rsidRPr="000E4D78" w:rsidRDefault="00000000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  <w:t>Enfoque centrado en las sobrevivientes</w:t>
            </w:r>
          </w:p>
        </w:tc>
        <w:tc>
          <w:tcPr>
            <w:tcW w:w="1197" w:type="dxa"/>
            <w:shd w:val="clear" w:color="auto" w:fill="EBF1DF"/>
          </w:tcPr>
          <w:p w14:paraId="75FC5DBD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2" w:type="dxa"/>
            <w:shd w:val="clear" w:color="auto" w:fill="EBF1DF"/>
          </w:tcPr>
          <w:p w14:paraId="6DA51544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4" w:type="dxa"/>
            <w:shd w:val="clear" w:color="auto" w:fill="EBF1DF"/>
          </w:tcPr>
          <w:p w14:paraId="712DD5CD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  <w:shd w:val="clear" w:color="auto" w:fill="EBF1DF"/>
          </w:tcPr>
          <w:p w14:paraId="066FFC4F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  <w:shd w:val="clear" w:color="auto" w:fill="EBF1DF"/>
          </w:tcPr>
          <w:p w14:paraId="112F064B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999" w:type="dxa"/>
            <w:shd w:val="clear" w:color="auto" w:fill="EBF1DF"/>
          </w:tcPr>
          <w:p w14:paraId="54112970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2618" w:type="dxa"/>
            <w:shd w:val="clear" w:color="auto" w:fill="EBF1DF"/>
          </w:tcPr>
          <w:p w14:paraId="316F7E63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</w:tr>
      <w:tr w:rsidR="00970C94" w:rsidRPr="000E4D78" w14:paraId="3D4C357F" w14:textId="77777777">
        <w:tc>
          <w:tcPr>
            <w:tcW w:w="4983" w:type="dxa"/>
          </w:tcPr>
          <w:p w14:paraId="309F2A36" w14:textId="77777777" w:rsidR="00970C94" w:rsidRPr="000E4D78" w:rsidRDefault="00000000">
            <w:pPr>
              <w:widowControl w:val="0"/>
              <w:numPr>
                <w:ilvl w:val="0"/>
                <w:numId w:val="1"/>
              </w:numPr>
              <w:spacing w:before="120" w:after="120"/>
              <w:ind w:left="284" w:hanging="284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  <w:t>La organización sigue un enfoque centrado en las sobrevivientes, en el que las experiencias, los derechos y las necesidades de las sobrevivientes ocupan un lugar central y reciben apoyo a lo largo de todo el proceso.</w:t>
            </w:r>
          </w:p>
        </w:tc>
        <w:tc>
          <w:tcPr>
            <w:tcW w:w="1197" w:type="dxa"/>
          </w:tcPr>
          <w:p w14:paraId="6523207F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2" w:type="dxa"/>
          </w:tcPr>
          <w:p w14:paraId="0FA2A1E6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4" w:type="dxa"/>
          </w:tcPr>
          <w:p w14:paraId="6D29AE66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</w:tcPr>
          <w:p w14:paraId="73146195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</w:tcPr>
          <w:p w14:paraId="6FF08BEF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999" w:type="dxa"/>
          </w:tcPr>
          <w:p w14:paraId="7A3544EF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2618" w:type="dxa"/>
          </w:tcPr>
          <w:p w14:paraId="68A2816E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</w:tr>
      <w:tr w:rsidR="00970C94" w:rsidRPr="000E4D78" w14:paraId="4778CA23" w14:textId="77777777">
        <w:tc>
          <w:tcPr>
            <w:tcW w:w="4983" w:type="dxa"/>
          </w:tcPr>
          <w:p w14:paraId="2FAD2F7D" w14:textId="77777777" w:rsidR="00970C94" w:rsidRPr="000E4D78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  <w:t>La organización cuenta con un punto focal de SEA-H con las siguientes tareas: prevención de SEA-H, atención a las necesidades de los sobrevivientes y funciones de denuncia interna dedicadas a SEA-H.</w:t>
            </w:r>
          </w:p>
        </w:tc>
        <w:tc>
          <w:tcPr>
            <w:tcW w:w="1197" w:type="dxa"/>
          </w:tcPr>
          <w:p w14:paraId="2203ACE6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2" w:type="dxa"/>
          </w:tcPr>
          <w:p w14:paraId="020CA8E8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4" w:type="dxa"/>
          </w:tcPr>
          <w:p w14:paraId="3AB88C58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</w:tcPr>
          <w:p w14:paraId="54ECF16C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</w:tcPr>
          <w:p w14:paraId="20F6AAD5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999" w:type="dxa"/>
          </w:tcPr>
          <w:p w14:paraId="320464C1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2618" w:type="dxa"/>
          </w:tcPr>
          <w:p w14:paraId="6D99FC81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</w:tr>
      <w:tr w:rsidR="00970C94" w:rsidRPr="000E4D78" w14:paraId="5A302A00" w14:textId="77777777">
        <w:trPr>
          <w:trHeight w:val="480"/>
        </w:trPr>
        <w:tc>
          <w:tcPr>
            <w:tcW w:w="4983" w:type="dxa"/>
            <w:shd w:val="clear" w:color="auto" w:fill="EBF1DF"/>
          </w:tcPr>
          <w:p w14:paraId="7FEF827E" w14:textId="77777777" w:rsidR="00970C94" w:rsidRPr="000E4D78" w:rsidRDefault="00000000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  <w:t>Estructuras organizativas de denuncia</w:t>
            </w:r>
          </w:p>
        </w:tc>
        <w:tc>
          <w:tcPr>
            <w:tcW w:w="1197" w:type="dxa"/>
            <w:shd w:val="clear" w:color="auto" w:fill="EBF1DF"/>
          </w:tcPr>
          <w:p w14:paraId="226E1D8D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2" w:type="dxa"/>
            <w:shd w:val="clear" w:color="auto" w:fill="EBF1DF"/>
          </w:tcPr>
          <w:p w14:paraId="757074C6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4" w:type="dxa"/>
            <w:shd w:val="clear" w:color="auto" w:fill="EBF1DF"/>
          </w:tcPr>
          <w:p w14:paraId="763CC5DD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  <w:shd w:val="clear" w:color="auto" w:fill="EBF1DF"/>
          </w:tcPr>
          <w:p w14:paraId="147FABBE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  <w:shd w:val="clear" w:color="auto" w:fill="EBF1DF"/>
          </w:tcPr>
          <w:p w14:paraId="00EC66A1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999" w:type="dxa"/>
            <w:shd w:val="clear" w:color="auto" w:fill="EBF1DF"/>
          </w:tcPr>
          <w:p w14:paraId="0829D05C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2618" w:type="dxa"/>
            <w:shd w:val="clear" w:color="auto" w:fill="EBF1DF"/>
          </w:tcPr>
          <w:p w14:paraId="472B10CC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</w:tr>
      <w:tr w:rsidR="00970C94" w:rsidRPr="000E4D78" w14:paraId="46BD71FF" w14:textId="77777777">
        <w:tc>
          <w:tcPr>
            <w:tcW w:w="4983" w:type="dxa"/>
          </w:tcPr>
          <w:p w14:paraId="04C839F7" w14:textId="77777777" w:rsidR="00970C94" w:rsidRPr="000E4D78" w:rsidRDefault="00000000">
            <w:pPr>
              <w:widowControl w:val="0"/>
              <w:numPr>
                <w:ilvl w:val="0"/>
                <w:numId w:val="1"/>
              </w:numPr>
              <w:spacing w:before="120"/>
              <w:ind w:left="284" w:hanging="284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  <w:lastRenderedPageBreak/>
              <w:t>La Política y los procedimientos sobre abuso y explotación sexual en el ámbito de la salud (SEA-H) establecen que es responsabilidad de todo el personal reportar los incidentes de SEA-H al punto focal. El punto focal sigue normas y procedimientos organizacionales específicos para involucrar a la alta dirección y a los consejos ejecutivos.</w:t>
            </w:r>
          </w:p>
        </w:tc>
        <w:tc>
          <w:tcPr>
            <w:tcW w:w="1197" w:type="dxa"/>
          </w:tcPr>
          <w:p w14:paraId="106464CB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2" w:type="dxa"/>
          </w:tcPr>
          <w:p w14:paraId="767B6BBA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4" w:type="dxa"/>
          </w:tcPr>
          <w:p w14:paraId="77E0B04F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</w:tcPr>
          <w:p w14:paraId="01D8BC91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</w:tcPr>
          <w:p w14:paraId="72C6AF82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999" w:type="dxa"/>
          </w:tcPr>
          <w:p w14:paraId="4B480E35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2618" w:type="dxa"/>
          </w:tcPr>
          <w:p w14:paraId="2655DAF3" w14:textId="77777777" w:rsidR="00970C94" w:rsidRPr="000E4D78" w:rsidRDefault="00970C94">
            <w:pPr>
              <w:widowControl w:val="0"/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</w:tr>
      <w:tr w:rsidR="00970C94" w:rsidRPr="000E4D78" w14:paraId="5A53E32D" w14:textId="77777777">
        <w:tc>
          <w:tcPr>
            <w:tcW w:w="4983" w:type="dxa"/>
          </w:tcPr>
          <w:p w14:paraId="6CCB15AE" w14:textId="77777777" w:rsidR="00970C94" w:rsidRPr="000E4D78" w:rsidRDefault="00000000">
            <w:pPr>
              <w:widowControl w:val="0"/>
              <w:numPr>
                <w:ilvl w:val="0"/>
                <w:numId w:val="1"/>
              </w:numPr>
              <w:spacing w:before="120"/>
              <w:ind w:left="284" w:hanging="284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  <w:t xml:space="preserve">Los mecanismos de denuncia de la organización son sencillos, claros, de fácil acceso, adecuados al contexto y se difunden entre el personal, los socios, los beneficiarios, etc. Este mecanismo centrado en las víctimas incluirá elementos como un buzón funcional, una línea directa, un punto focal y un canal de denuncia. Además, dicho mecanismo debe diseñarse de manera que incorpore medidas que sean accesibles para personas con discapacidad y adaptadas a los niños. </w:t>
            </w:r>
          </w:p>
        </w:tc>
        <w:tc>
          <w:tcPr>
            <w:tcW w:w="1197" w:type="dxa"/>
          </w:tcPr>
          <w:p w14:paraId="460BB071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2" w:type="dxa"/>
          </w:tcPr>
          <w:p w14:paraId="497CBF09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4" w:type="dxa"/>
          </w:tcPr>
          <w:p w14:paraId="51B989E5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</w:tcPr>
          <w:p w14:paraId="55EBF6EC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</w:tcPr>
          <w:p w14:paraId="586CA8AE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999" w:type="dxa"/>
          </w:tcPr>
          <w:p w14:paraId="5B8FF918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2618" w:type="dxa"/>
          </w:tcPr>
          <w:p w14:paraId="3D53FE69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</w:tr>
      <w:tr w:rsidR="00970C94" w:rsidRPr="000E4D78" w14:paraId="198FE3BC" w14:textId="77777777">
        <w:trPr>
          <w:trHeight w:val="480"/>
        </w:trPr>
        <w:tc>
          <w:tcPr>
            <w:tcW w:w="4983" w:type="dxa"/>
            <w:shd w:val="clear" w:color="auto" w:fill="EBF1DF"/>
          </w:tcPr>
          <w:p w14:paraId="5F3F17CD" w14:textId="77777777" w:rsidR="00970C94" w:rsidRPr="000E4D78" w:rsidRDefault="00000000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  <w:t>Rendición de cuentas y transparencia</w:t>
            </w:r>
          </w:p>
        </w:tc>
        <w:tc>
          <w:tcPr>
            <w:tcW w:w="1197" w:type="dxa"/>
            <w:shd w:val="clear" w:color="auto" w:fill="EBF1DF"/>
          </w:tcPr>
          <w:p w14:paraId="1281073D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2" w:type="dxa"/>
            <w:shd w:val="clear" w:color="auto" w:fill="EBF1DF"/>
          </w:tcPr>
          <w:p w14:paraId="7AFF7AFC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4" w:type="dxa"/>
            <w:shd w:val="clear" w:color="auto" w:fill="EBF1DF"/>
          </w:tcPr>
          <w:p w14:paraId="361E0EDB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  <w:shd w:val="clear" w:color="auto" w:fill="EBF1DF"/>
          </w:tcPr>
          <w:p w14:paraId="3A2CC465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  <w:shd w:val="clear" w:color="auto" w:fill="EBF1DF"/>
          </w:tcPr>
          <w:p w14:paraId="6277328D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999" w:type="dxa"/>
            <w:shd w:val="clear" w:color="auto" w:fill="EBF1DF"/>
          </w:tcPr>
          <w:p w14:paraId="11DB3F97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2618" w:type="dxa"/>
            <w:shd w:val="clear" w:color="auto" w:fill="EBF1DF"/>
          </w:tcPr>
          <w:p w14:paraId="23233AB4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</w:tr>
      <w:tr w:rsidR="00970C94" w:rsidRPr="000E4D78" w14:paraId="351950FA" w14:textId="77777777">
        <w:tc>
          <w:tcPr>
            <w:tcW w:w="4983" w:type="dxa"/>
          </w:tcPr>
          <w:p w14:paraId="40205CB1" w14:textId="77777777" w:rsidR="00970C94" w:rsidRPr="000E4D78" w:rsidRDefault="00000000">
            <w:pPr>
              <w:widowControl w:val="0"/>
              <w:numPr>
                <w:ilvl w:val="0"/>
                <w:numId w:val="1"/>
              </w:numPr>
              <w:spacing w:before="120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  <w:t xml:space="preserve">La organización cuenta con sólidos procesos de selección de personal y prácticas de empleo que abordan y gestionan el riesgo de abuso y explotación sexual en el contexto humanitario y de desarrollo (SEA-H), y que brindan una garantía razonable de que se han tomado las precauciones necesarias contra </w:t>
            </w:r>
            <w:proofErr w:type="spellStart"/>
            <w:r w:rsidRPr="000E4D78"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  <w:t>el</w:t>
            </w:r>
            <w:proofErr w:type="spellEnd"/>
            <w:r w:rsidRPr="000E4D78"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  <w:t xml:space="preserve"> SEA-H, tales como solicitar a los solicitantes sus antecedentes penales recientes, realizar verificaciones de antecedentes y procedimientos de referencia (para abordar el problema específico de que los abusadores sexuales conocidos se desplacen dentro y entre diferentes agencias humanitarias y de desarrollo) que confirmen la ausencia de </w:t>
            </w:r>
            <w:r w:rsidRPr="000E4D78"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  <w:lastRenderedPageBreak/>
              <w:t xml:space="preserve">incidentes relacionados con </w:t>
            </w:r>
            <w:proofErr w:type="spellStart"/>
            <w:r w:rsidRPr="000E4D78"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  <w:t>el</w:t>
            </w:r>
            <w:proofErr w:type="spellEnd"/>
            <w:r w:rsidRPr="000E4D78"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  <w:t xml:space="preserve"> SEA-H en empleos anteriores. </w:t>
            </w:r>
          </w:p>
        </w:tc>
        <w:tc>
          <w:tcPr>
            <w:tcW w:w="1197" w:type="dxa"/>
          </w:tcPr>
          <w:p w14:paraId="3490D163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2" w:type="dxa"/>
          </w:tcPr>
          <w:p w14:paraId="32BD89B3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4" w:type="dxa"/>
          </w:tcPr>
          <w:p w14:paraId="2C585D7D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</w:tcPr>
          <w:p w14:paraId="5507467F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</w:tcPr>
          <w:p w14:paraId="132857EC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999" w:type="dxa"/>
          </w:tcPr>
          <w:p w14:paraId="0DC1ADC9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2618" w:type="dxa"/>
          </w:tcPr>
          <w:p w14:paraId="5A34C292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</w:tr>
      <w:tr w:rsidR="00970C94" w:rsidRPr="000E4D78" w14:paraId="24829506" w14:textId="77777777">
        <w:tc>
          <w:tcPr>
            <w:tcW w:w="4983" w:type="dxa"/>
          </w:tcPr>
          <w:p w14:paraId="27445CEA" w14:textId="77777777" w:rsidR="00970C94" w:rsidRPr="000E4D78" w:rsidRDefault="00000000">
            <w:pPr>
              <w:widowControl w:val="0"/>
              <w:numPr>
                <w:ilvl w:val="0"/>
                <w:numId w:val="1"/>
              </w:numPr>
              <w:spacing w:before="120"/>
              <w:ind w:left="284" w:hanging="284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  <w:t>La organización cuenta con procedimientos operativos estándar que rinden cuentas para abordar las denuncias y los reportes de abuso y explotación sexual de menores y personas vulnerables (SEA-H), tales como el cumplimiento del principio del debido proceso al priorizar la seguridad de los sobrevivientes y proteger la identidad de las personas involucradas; restringir el intercambio de información a quienes necesitan conocerla, y documentar cada queja o incidente y las acciones de seguimiento relacionadas, como la investigación y las medidas correctivas.</w:t>
            </w:r>
          </w:p>
        </w:tc>
        <w:tc>
          <w:tcPr>
            <w:tcW w:w="1197" w:type="dxa"/>
          </w:tcPr>
          <w:p w14:paraId="04AD4B89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2" w:type="dxa"/>
          </w:tcPr>
          <w:p w14:paraId="07378809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4" w:type="dxa"/>
          </w:tcPr>
          <w:p w14:paraId="786A7CC2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</w:tcPr>
          <w:p w14:paraId="28412739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</w:tcPr>
          <w:p w14:paraId="668A7C36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999" w:type="dxa"/>
          </w:tcPr>
          <w:p w14:paraId="69CC20E5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2618" w:type="dxa"/>
          </w:tcPr>
          <w:p w14:paraId="5716E601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</w:tr>
      <w:tr w:rsidR="00970C94" w:rsidRPr="000E4D78" w14:paraId="1CAA5355" w14:textId="77777777">
        <w:trPr>
          <w:trHeight w:val="480"/>
        </w:trPr>
        <w:tc>
          <w:tcPr>
            <w:tcW w:w="4983" w:type="dxa"/>
            <w:shd w:val="clear" w:color="auto" w:fill="EBF1DF"/>
          </w:tcPr>
          <w:p w14:paraId="409BC6CB" w14:textId="77777777" w:rsidR="00970C94" w:rsidRPr="000E4D78" w:rsidRDefault="00000000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  <w:t>Capacitación y sensibilización</w:t>
            </w:r>
          </w:p>
        </w:tc>
        <w:tc>
          <w:tcPr>
            <w:tcW w:w="1197" w:type="dxa"/>
            <w:shd w:val="clear" w:color="auto" w:fill="EBF1DF"/>
          </w:tcPr>
          <w:p w14:paraId="33263BC1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2" w:type="dxa"/>
            <w:shd w:val="clear" w:color="auto" w:fill="EBF1DF"/>
          </w:tcPr>
          <w:p w14:paraId="5CCF2511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4" w:type="dxa"/>
            <w:shd w:val="clear" w:color="auto" w:fill="EBF1DF"/>
          </w:tcPr>
          <w:p w14:paraId="11CDE1BC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  <w:shd w:val="clear" w:color="auto" w:fill="EBF1DF"/>
          </w:tcPr>
          <w:p w14:paraId="225993A2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  <w:shd w:val="clear" w:color="auto" w:fill="EBF1DF"/>
          </w:tcPr>
          <w:p w14:paraId="61817961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999" w:type="dxa"/>
            <w:shd w:val="clear" w:color="auto" w:fill="EBF1DF"/>
          </w:tcPr>
          <w:p w14:paraId="3F1A5BAD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2618" w:type="dxa"/>
            <w:shd w:val="clear" w:color="auto" w:fill="EBF1DF"/>
          </w:tcPr>
          <w:p w14:paraId="713BC2BA" w14:textId="77777777" w:rsidR="00970C94" w:rsidRPr="000E4D78" w:rsidRDefault="00970C94">
            <w:pPr>
              <w:widowControl w:val="0"/>
              <w:spacing w:before="120" w:after="120" w:line="259" w:lineRule="auto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lang w:val="es-ES"/>
              </w:rPr>
            </w:pPr>
          </w:p>
        </w:tc>
      </w:tr>
      <w:tr w:rsidR="00970C94" w:rsidRPr="000E4D78" w14:paraId="2521EF45" w14:textId="77777777">
        <w:trPr>
          <w:trHeight w:val="1162"/>
        </w:trPr>
        <w:tc>
          <w:tcPr>
            <w:tcW w:w="4983" w:type="dxa"/>
          </w:tcPr>
          <w:p w14:paraId="4D4B9DCC" w14:textId="77777777" w:rsidR="00970C94" w:rsidRPr="000E4D78" w:rsidRDefault="00000000">
            <w:pPr>
              <w:widowControl w:val="0"/>
              <w:numPr>
                <w:ilvl w:val="0"/>
                <w:numId w:val="1"/>
              </w:numPr>
              <w:spacing w:before="120"/>
              <w:ind w:left="284" w:hanging="284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  <w:t>La organización cuenta con una capacitación obligatoria sobre la prevención de la SEA-H, lo que permite que todos los miembros del personal se beneficien de esta capacitación.</w:t>
            </w:r>
          </w:p>
        </w:tc>
        <w:tc>
          <w:tcPr>
            <w:tcW w:w="1197" w:type="dxa"/>
          </w:tcPr>
          <w:p w14:paraId="68F1849B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2" w:type="dxa"/>
          </w:tcPr>
          <w:p w14:paraId="147924EC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4" w:type="dxa"/>
          </w:tcPr>
          <w:p w14:paraId="068A39D2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</w:tcPr>
          <w:p w14:paraId="7FD8D6B9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</w:tcPr>
          <w:p w14:paraId="3CB26235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999" w:type="dxa"/>
          </w:tcPr>
          <w:p w14:paraId="226E4D6B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2618" w:type="dxa"/>
          </w:tcPr>
          <w:p w14:paraId="7C9CC441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</w:tr>
      <w:tr w:rsidR="00970C94" w:rsidRPr="000E4D78" w14:paraId="1B3339A6" w14:textId="77777777">
        <w:tc>
          <w:tcPr>
            <w:tcW w:w="4983" w:type="dxa"/>
          </w:tcPr>
          <w:p w14:paraId="21E4F512" w14:textId="77777777" w:rsidR="00970C94" w:rsidRPr="000E4D78" w:rsidRDefault="00000000">
            <w:pPr>
              <w:widowControl w:val="0"/>
              <w:numPr>
                <w:ilvl w:val="0"/>
                <w:numId w:val="1"/>
              </w:numP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  <w:r w:rsidRPr="000E4D78"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  <w:t xml:space="preserve">Se envían recordatorios periódicos (cursos de actualización, correos electrónicos, informes anuales, etc.) a todo el personal sobre la SEA-H y las normas éticas identificadas, implementadas y supervisadas.  </w:t>
            </w:r>
          </w:p>
        </w:tc>
        <w:tc>
          <w:tcPr>
            <w:tcW w:w="1197" w:type="dxa"/>
          </w:tcPr>
          <w:p w14:paraId="679A868F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2" w:type="dxa"/>
          </w:tcPr>
          <w:p w14:paraId="2E28FFAE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024" w:type="dxa"/>
          </w:tcPr>
          <w:p w14:paraId="75E586FB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</w:tcPr>
          <w:p w14:paraId="0178440C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1220" w:type="dxa"/>
          </w:tcPr>
          <w:p w14:paraId="7DD73362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999" w:type="dxa"/>
          </w:tcPr>
          <w:p w14:paraId="43DB2B31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  <w:tc>
          <w:tcPr>
            <w:tcW w:w="2618" w:type="dxa"/>
          </w:tcPr>
          <w:p w14:paraId="4A14CE18" w14:textId="77777777" w:rsidR="00970C94" w:rsidRPr="000E4D78" w:rsidRDefault="00970C94">
            <w:pPr>
              <w:widowControl w:val="0"/>
              <w:spacing w:before="120" w:after="120"/>
              <w:rPr>
                <w:rFonts w:ascii="Arial" w:eastAsia="Arial" w:hAnsi="Arial" w:cs="Arial"/>
                <w:color w:val="000000"/>
                <w:sz w:val="21"/>
                <w:szCs w:val="21"/>
                <w:lang w:val="es-ES"/>
              </w:rPr>
            </w:pPr>
          </w:p>
        </w:tc>
      </w:tr>
    </w:tbl>
    <w:p w14:paraId="1737615C" w14:textId="77777777" w:rsidR="00970C94" w:rsidRPr="000E4D78" w:rsidRDefault="00000000">
      <w:pPr>
        <w:rPr>
          <w:color w:val="FFFFFF"/>
          <w:sz w:val="21"/>
          <w:szCs w:val="21"/>
          <w:lang w:val="es-ES"/>
        </w:rPr>
      </w:pPr>
      <w:r w:rsidRPr="000E4D78">
        <w:rPr>
          <w:b/>
          <w:bCs/>
          <w:color w:val="FFFFFF"/>
          <w:sz w:val="21"/>
          <w:szCs w:val="21"/>
          <w:lang w:val="es-ES"/>
        </w:rPr>
        <w:t xml:space="preserve">Organizaciones </w:t>
      </w:r>
    </w:p>
    <w:p w14:paraId="429EC7E9" w14:textId="77777777" w:rsidR="00970C94" w:rsidRDefault="00970C94">
      <w:pPr>
        <w:rPr>
          <w:b/>
          <w:bCs/>
          <w:color w:val="000000"/>
          <w:sz w:val="24"/>
          <w:szCs w:val="24"/>
        </w:rPr>
      </w:pPr>
    </w:p>
    <w:sectPr w:rsidR="00970C94">
      <w:headerReference w:type="default" r:id="rId8"/>
      <w:footerReference w:type="default" r:id="rId9"/>
      <w:pgSz w:w="15840" w:h="12240" w:orient="landscape"/>
      <w:pgMar w:top="1894" w:right="1418" w:bottom="113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2BE554" w14:textId="77777777" w:rsidR="00952F79" w:rsidRDefault="00952F79">
      <w:pPr>
        <w:spacing w:after="0" w:line="240" w:lineRule="auto"/>
      </w:pPr>
      <w:r>
        <w:separator/>
      </w:r>
    </w:p>
  </w:endnote>
  <w:endnote w:type="continuationSeparator" w:id="0">
    <w:p w14:paraId="1482A618" w14:textId="77777777" w:rsidR="00952F79" w:rsidRDefault="00952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EFF8ED98-14F8-F94D-A1BA-966C85891ABC}"/>
    <w:embedBold r:id="rId2" w:fontKey="{4660806F-83E0-3B45-8EE2-787B9F951F3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B788D87-5509-E346-B3F4-87A42B88A6ED}"/>
    <w:embedBold r:id="rId4" w:fontKey="{4DB43275-7A17-8046-ACC6-A5F33D55D39C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36DA1FCD-6984-7D47-843A-5EC78B58440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C9C3DC02-0273-B845-BD2C-A187B0F02E2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FAAB1C20-8176-9949-BC0D-9B0D009BA0D7}"/>
    <w:embedBold r:id="rId8" w:fontKey="{305D30D7-AC01-D941-836D-84917623A45B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9" w:fontKey="{465EF575-E7E1-9748-B967-A21A466133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F2BE74" w14:textId="77777777" w:rsidR="00970C9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Arial" w:eastAsia="Arial" w:hAnsi="Arial" w:cs="Arial"/>
        <w:color w:val="000000"/>
        <w:sz w:val="21"/>
        <w:szCs w:val="21"/>
      </w:rPr>
    </w:pPr>
    <w:r>
      <w:rPr>
        <w:rFonts w:ascii="Arial" w:eastAsia="Arial" w:hAnsi="Arial" w:cs="Arial"/>
        <w:color w:val="000000"/>
        <w:sz w:val="21"/>
        <w:szCs w:val="21"/>
      </w:rPr>
      <w:fldChar w:fldCharType="begin"/>
    </w:r>
    <w:r>
      <w:rPr>
        <w:rFonts w:ascii="Arial" w:eastAsia="Arial" w:hAnsi="Arial" w:cs="Arial"/>
        <w:color w:val="000000"/>
        <w:sz w:val="21"/>
        <w:szCs w:val="21"/>
      </w:rPr>
      <w:instrText>PAGE</w:instrText>
    </w:r>
    <w:r>
      <w:rPr>
        <w:rFonts w:ascii="Arial" w:eastAsia="Arial" w:hAnsi="Arial" w:cs="Arial"/>
        <w:color w:val="000000"/>
        <w:sz w:val="21"/>
        <w:szCs w:val="21"/>
      </w:rPr>
      <w:fldChar w:fldCharType="separate"/>
    </w:r>
    <w:r w:rsidR="000E4D78">
      <w:rPr>
        <w:rFonts w:ascii="Arial" w:eastAsia="Arial" w:hAnsi="Arial" w:cs="Arial"/>
        <w:noProof/>
        <w:color w:val="000000"/>
        <w:sz w:val="21"/>
        <w:szCs w:val="21"/>
      </w:rPr>
      <w:t>1</w:t>
    </w:r>
    <w:r>
      <w:rPr>
        <w:rFonts w:ascii="Arial" w:eastAsia="Arial" w:hAnsi="Arial" w:cs="Arial"/>
        <w:color w:val="000000"/>
        <w:sz w:val="21"/>
        <w:szCs w:val="21"/>
      </w:rPr>
      <w:fldChar w:fldCharType="end"/>
    </w:r>
  </w:p>
  <w:p w14:paraId="33812F06" w14:textId="77777777" w:rsidR="00970C94" w:rsidRDefault="00970C9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778075" w14:textId="77777777" w:rsidR="00952F79" w:rsidRDefault="00952F79">
      <w:pPr>
        <w:spacing w:after="0" w:line="240" w:lineRule="auto"/>
      </w:pPr>
      <w:r>
        <w:separator/>
      </w:r>
    </w:p>
  </w:footnote>
  <w:footnote w:type="continuationSeparator" w:id="0">
    <w:p w14:paraId="3BE220FC" w14:textId="77777777" w:rsidR="00952F79" w:rsidRDefault="00952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E5B7B0" w14:textId="77777777" w:rsidR="00970C9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2654"/>
        <w:tab w:val="left" w:pos="8938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55EDD875" wp14:editId="2095D852">
              <wp:simplePos x="0" y="0"/>
              <wp:positionH relativeFrom="column">
                <wp:posOffset>1</wp:posOffset>
              </wp:positionH>
              <wp:positionV relativeFrom="paragraph">
                <wp:posOffset>-430035</wp:posOffset>
              </wp:positionV>
              <wp:extent cx="8316595" cy="935990"/>
              <wp:effectExtent l="0" t="0" r="0" b="0"/>
              <wp:wrapNone/>
              <wp:docPr id="1462927988" name="Group 14629279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316595" cy="935990"/>
                        <a:chOff x="1188050" y="3312000"/>
                        <a:chExt cx="8315900" cy="936000"/>
                      </a:xfrm>
                    </wpg:grpSpPr>
                    <wpg:grpSp>
                      <wpg:cNvPr id="118730856" name="Group 118730856"/>
                      <wpg:cNvGrpSpPr/>
                      <wpg:grpSpPr>
                        <a:xfrm>
                          <a:off x="1188055" y="3312005"/>
                          <a:ext cx="8315890" cy="935990"/>
                          <a:chOff x="0" y="0"/>
                          <a:chExt cx="8315890" cy="935990"/>
                        </a:xfrm>
                      </wpg:grpSpPr>
                      <wps:wsp>
                        <wps:cNvPr id="2025313471" name="Rectangle 2025313471"/>
                        <wps:cNvSpPr/>
                        <wps:spPr>
                          <a:xfrm>
                            <a:off x="0" y="0"/>
                            <a:ext cx="8315875" cy="93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92AC9D8" w14:textId="77777777" w:rsidR="00970C94" w:rsidRDefault="00970C94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214489"/>
                            <a:ext cx="112458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133600" y="0"/>
                            <a:ext cx="935990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075289" y="214489"/>
                            <a:ext cx="112014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6198305" y="248356"/>
                            <a:ext cx="2117585" cy="443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-430035</wp:posOffset>
              </wp:positionV>
              <wp:extent cx="8316595" cy="935990"/>
              <wp:effectExtent b="0" l="0" r="0" t="0"/>
              <wp:wrapNone/>
              <wp:docPr id="1462927988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316595" cy="9359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80B46CF"/>
    <w:multiLevelType w:val="multilevel"/>
    <w:tmpl w:val="7C542E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277349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C94"/>
    <w:rsid w:val="00050E32"/>
    <w:rsid w:val="000E4D78"/>
    <w:rsid w:val="00952F79"/>
    <w:rsid w:val="00970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F501B4"/>
  <w15:docId w15:val="{0E10FB4C-15C2-8F4A-B06B-BBA85E65E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E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8D5F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F88"/>
  </w:style>
  <w:style w:type="paragraph" w:styleId="Footer">
    <w:name w:val="footer"/>
    <w:basedOn w:val="Normal"/>
    <w:link w:val="FooterChar"/>
    <w:uiPriority w:val="99"/>
    <w:unhideWhenUsed/>
    <w:rsid w:val="008D5F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F88"/>
  </w:style>
  <w:style w:type="table" w:customStyle="1" w:styleId="TableGrid1">
    <w:name w:val="Table Grid1"/>
    <w:basedOn w:val="TableNormal"/>
    <w:next w:val="TableGrid"/>
    <w:uiPriority w:val="39"/>
    <w:rsid w:val="009F547C"/>
    <w:pPr>
      <w:spacing w:after="0" w:line="240" w:lineRule="auto"/>
    </w:pPr>
    <w:rPr>
      <w:rFonts w:eastAsia="MS Mincho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F5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0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5F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F26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26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26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26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26B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D15D3"/>
    <w:pPr>
      <w:spacing w:after="200" w:line="276" w:lineRule="auto"/>
      <w:ind w:left="720"/>
      <w:contextualSpacing/>
    </w:pPr>
    <w:rPr>
      <w:lang w:val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10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8i+P5fCEwk59rwV0YUNXt4yOow==">CgMxLjA4AHIhMUJmS3cyWGV6Z1RnM1ZDbzcxYWtCOExhdmJIUkJQSDNL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572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CARRADORI Nicola (DEVCO)</dc:creator>
  <cp:lastModifiedBy>Margherita Distrotti</cp:lastModifiedBy>
  <cp:revision>2</cp:revision>
  <dcterms:created xsi:type="dcterms:W3CDTF">2024-12-11T09:43:00Z</dcterms:created>
  <dcterms:modified xsi:type="dcterms:W3CDTF">2026-10-26T13:08:00Z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0x010100724FDE23FB365D4CB8B2901107175F9F</vt:lpwstr>
  </property>
  <property fmtid="{D5CDD505-2E9C-101B-9397-08002B2CF9AE}" pid="3" name="IsMyDocuments">
    <vt:bool>true</vt:bool>
  </property>
</Properties>
</file>